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98DD6" w14:textId="77777777" w:rsidR="00DA75C9" w:rsidRDefault="00DA75C9" w:rsidP="00DA75C9">
      <w:pPr>
        <w:snapToGrid w:val="0"/>
        <w:spacing w:line="240" w:lineRule="auto"/>
        <w:jc w:val="center"/>
        <w:rPr>
          <w:b/>
          <w:color w:val="002E56"/>
          <w:sz w:val="28"/>
          <w:szCs w:val="28"/>
        </w:rPr>
      </w:pPr>
    </w:p>
    <w:p w14:paraId="50B650BF" w14:textId="7D4F6243" w:rsidR="0009034F" w:rsidRDefault="009B4CBC" w:rsidP="00DA75C9">
      <w:pPr>
        <w:snapToGrid w:val="0"/>
        <w:spacing w:line="240" w:lineRule="auto"/>
        <w:jc w:val="center"/>
        <w:rPr>
          <w:b/>
          <w:color w:val="002E56"/>
          <w:sz w:val="28"/>
          <w:szCs w:val="28"/>
        </w:rPr>
      </w:pPr>
      <w:r>
        <w:rPr>
          <w:b/>
          <w:color w:val="002E56"/>
          <w:sz w:val="28"/>
          <w:szCs w:val="28"/>
        </w:rPr>
        <w:t xml:space="preserve">Transición a </w:t>
      </w:r>
      <w:proofErr w:type="spellStart"/>
      <w:r>
        <w:rPr>
          <w:b/>
          <w:color w:val="002E56"/>
          <w:sz w:val="28"/>
          <w:szCs w:val="28"/>
        </w:rPr>
        <w:t>Healthcare</w:t>
      </w:r>
      <w:proofErr w:type="spellEnd"/>
      <w:r>
        <w:rPr>
          <w:b/>
          <w:color w:val="002E56"/>
          <w:sz w:val="28"/>
          <w:szCs w:val="28"/>
        </w:rPr>
        <w:t xml:space="preserve"> </w:t>
      </w:r>
      <w:proofErr w:type="spellStart"/>
      <w:r>
        <w:rPr>
          <w:b/>
          <w:color w:val="002E56"/>
          <w:sz w:val="28"/>
          <w:szCs w:val="28"/>
        </w:rPr>
        <w:t>Services</w:t>
      </w:r>
      <w:proofErr w:type="spellEnd"/>
      <w:r>
        <w:rPr>
          <w:b/>
          <w:color w:val="002E56"/>
          <w:sz w:val="28"/>
          <w:szCs w:val="28"/>
        </w:rPr>
        <w:t xml:space="preserve"> </w:t>
      </w:r>
      <w:proofErr w:type="spellStart"/>
      <w:r>
        <w:rPr>
          <w:b/>
          <w:color w:val="002E56"/>
          <w:sz w:val="28"/>
          <w:szCs w:val="28"/>
        </w:rPr>
        <w:t>Group</w:t>
      </w:r>
      <w:proofErr w:type="spellEnd"/>
      <w:r>
        <w:rPr>
          <w:b/>
          <w:color w:val="002E56"/>
          <w:sz w:val="28"/>
          <w:szCs w:val="28"/>
        </w:rPr>
        <w:t>, Inc.</w:t>
      </w:r>
    </w:p>
    <w:p w14:paraId="4CE07EBF" w14:textId="7743415A" w:rsidR="0009034F" w:rsidRDefault="009B4CBC" w:rsidP="00DA75C9">
      <w:pPr>
        <w:snapToGrid w:val="0"/>
        <w:spacing w:line="240" w:lineRule="auto"/>
        <w:jc w:val="center"/>
        <w:rPr>
          <w:b/>
          <w:color w:val="002E56"/>
          <w:sz w:val="28"/>
          <w:szCs w:val="28"/>
        </w:rPr>
      </w:pPr>
      <w:r>
        <w:rPr>
          <w:b/>
          <w:color w:val="002E56"/>
          <w:sz w:val="28"/>
          <w:szCs w:val="28"/>
        </w:rPr>
        <w:t>Preguntas frecuentes</w:t>
      </w:r>
    </w:p>
    <w:p w14:paraId="0D5D8866" w14:textId="77777777" w:rsidR="00DA75C9" w:rsidRPr="00DA75C9" w:rsidRDefault="00DA75C9" w:rsidP="00DA75C9">
      <w:pPr>
        <w:snapToGrid w:val="0"/>
        <w:spacing w:line="240" w:lineRule="auto"/>
        <w:jc w:val="center"/>
        <w:rPr>
          <w:b/>
          <w:color w:val="002E56"/>
          <w:sz w:val="28"/>
          <w:szCs w:val="28"/>
        </w:rPr>
      </w:pPr>
    </w:p>
    <w:p w14:paraId="5B6B3CD4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1. ¿A quién afecta este cambio?</w:t>
      </w:r>
    </w:p>
    <w:p w14:paraId="3C0969E2" w14:textId="77777777" w:rsidR="0009034F" w:rsidRPr="00DA75C9" w:rsidRDefault="009B4CBC" w:rsidP="00DA75C9">
      <w:pPr>
        <w:numPr>
          <w:ilvl w:val="0"/>
          <w:numId w:val="2"/>
        </w:numPr>
        <w:spacing w:line="240" w:lineRule="auto"/>
        <w:rPr>
          <w:color w:val="002E56"/>
        </w:rPr>
      </w:pPr>
      <w:r w:rsidRPr="00DA75C9">
        <w:rPr>
          <w:color w:val="002E56"/>
        </w:rPr>
        <w:t xml:space="preserve">Los departamentos de limpieza, lavandería y comedor se verán afectados por la transición al Grupo de Servicios de </w:t>
      </w:r>
      <w:r w:rsidRPr="00DA75C9">
        <w:rPr>
          <w:color w:val="002E56"/>
        </w:rPr>
        <w:t>Atención Médica (HCSG)</w:t>
      </w:r>
    </w:p>
    <w:p w14:paraId="502FC6E9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53EEC13E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2. ¿Cuál es la fecha de vigencia de este cambio?</w:t>
      </w:r>
    </w:p>
    <w:p w14:paraId="0978573F" w14:textId="68F88E01" w:rsidR="0009034F" w:rsidRPr="00DA75C9" w:rsidRDefault="009B4CBC" w:rsidP="00DA75C9">
      <w:pPr>
        <w:numPr>
          <w:ilvl w:val="0"/>
          <w:numId w:val="8"/>
        </w:numPr>
        <w:spacing w:line="240" w:lineRule="auto"/>
        <w:rPr>
          <w:color w:val="002E56"/>
        </w:rPr>
      </w:pPr>
      <w:r w:rsidRPr="00DA75C9">
        <w:rPr>
          <w:color w:val="002E56"/>
        </w:rPr>
        <w:t xml:space="preserve">El Departamento de Servicios de Limpieza, Lavandería y Comedor pasará oficialmente a HCSG el </w:t>
      </w:r>
      <w:r w:rsidR="007A499E">
        <w:rPr>
          <w:color w:val="002E56"/>
        </w:rPr>
        <w:t>19</w:t>
      </w:r>
      <w:r w:rsidRPr="00DA75C9">
        <w:rPr>
          <w:color w:val="002E56"/>
        </w:rPr>
        <w:t xml:space="preserve"> de mayo de 2024. </w:t>
      </w:r>
      <w:proofErr w:type="spellStart"/>
      <w:r w:rsidRPr="00DA75C9">
        <w:rPr>
          <w:color w:val="002E56"/>
        </w:rPr>
        <w:t>Legacy</w:t>
      </w:r>
      <w:proofErr w:type="spellEnd"/>
      <w:r w:rsidRPr="00DA75C9">
        <w:rPr>
          <w:color w:val="002E56"/>
        </w:rPr>
        <w:t xml:space="preserve"> y HCSG trabajarán juntos para garantizar una transición ordenad</w:t>
      </w:r>
      <w:r w:rsidRPr="00DA75C9">
        <w:rPr>
          <w:color w:val="002E56"/>
        </w:rPr>
        <w:t>a de los servicios y el personal.</w:t>
      </w:r>
    </w:p>
    <w:p w14:paraId="68B7B8B1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6B354FF7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3. ¿Continuaré trabajando bajo HCSG?</w:t>
      </w:r>
    </w:p>
    <w:p w14:paraId="7749A59F" w14:textId="77777777" w:rsidR="0009034F" w:rsidRPr="00DA75C9" w:rsidRDefault="009B4CBC" w:rsidP="00DA75C9">
      <w:pPr>
        <w:numPr>
          <w:ilvl w:val="0"/>
          <w:numId w:val="14"/>
        </w:numPr>
        <w:spacing w:line="240" w:lineRule="auto"/>
        <w:rPr>
          <w:color w:val="002E56"/>
        </w:rPr>
      </w:pPr>
      <w:r w:rsidRPr="00DA75C9">
        <w:rPr>
          <w:color w:val="002E56"/>
        </w:rPr>
        <w:t>Todos los empleados tendrán la oportunidad de continuar su empleo con HCSG con su salario actual. Los representantes de HCSG podrán abordar cualquier pregunta que tenga sobre su empleo</w:t>
      </w:r>
      <w:r w:rsidRPr="00DA75C9">
        <w:rPr>
          <w:color w:val="002E56"/>
        </w:rPr>
        <w:t>. Los empleados en transición no solo completarán el proceso de nueva contratación de HCSG (solicitud, servicios internos, etc.), sino que también aprenderán más sobre la nueva organización y qué esperar. Durante el proceso de nueva contratación, deberá pr</w:t>
      </w:r>
      <w:r w:rsidRPr="00DA75C9">
        <w:rPr>
          <w:color w:val="002E56"/>
        </w:rPr>
        <w:t>oporcionar una identificación como se indica en el formulario I-9. Las formas de identificación aceptables pueden encontrarse en la página 4 de este documento.</w:t>
      </w:r>
    </w:p>
    <w:p w14:paraId="5F63BE5E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108B14DC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4. ¿Cómo hago para entrar y salir?</w:t>
      </w:r>
    </w:p>
    <w:p w14:paraId="42AC074D" w14:textId="77777777" w:rsidR="0009034F" w:rsidRPr="00DA75C9" w:rsidRDefault="009B4CBC" w:rsidP="00DA75C9">
      <w:pPr>
        <w:numPr>
          <w:ilvl w:val="0"/>
          <w:numId w:val="12"/>
        </w:numPr>
        <w:spacing w:line="240" w:lineRule="auto"/>
        <w:rPr>
          <w:color w:val="002E56"/>
        </w:rPr>
      </w:pPr>
      <w:r w:rsidRPr="00DA75C9">
        <w:rPr>
          <w:color w:val="002E56"/>
        </w:rPr>
        <w:t>HCSG proporciona un sistema de reloj electrónico. Las instru</w:t>
      </w:r>
      <w:r w:rsidRPr="00DA75C9">
        <w:rPr>
          <w:color w:val="002E56"/>
        </w:rPr>
        <w:t>cciones y procedimientos serán proporcionados por su gerente o gerente de distrito. Para garantizar la exactitud de los cheques de pago de los empleados, los empleados pueden recibir sus recibos de pago electrónicamente.</w:t>
      </w:r>
    </w:p>
    <w:p w14:paraId="5CA0E478" w14:textId="77777777" w:rsidR="0009034F" w:rsidRPr="00DA75C9" w:rsidRDefault="0009034F" w:rsidP="00DA75C9">
      <w:pPr>
        <w:spacing w:line="240" w:lineRule="auto"/>
        <w:rPr>
          <w:b/>
          <w:color w:val="002E56"/>
        </w:rPr>
      </w:pPr>
    </w:p>
    <w:p w14:paraId="2369C515" w14:textId="77777777" w:rsidR="0009034F" w:rsidRPr="00DA75C9" w:rsidRDefault="0009034F" w:rsidP="00DA75C9">
      <w:pPr>
        <w:spacing w:line="240" w:lineRule="auto"/>
        <w:ind w:left="720"/>
        <w:rPr>
          <w:b/>
          <w:color w:val="002E56"/>
        </w:rPr>
      </w:pPr>
    </w:p>
    <w:p w14:paraId="2BBA8947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5. ¿Cuándo recibiré mi primer che</w:t>
      </w:r>
      <w:r w:rsidRPr="00DA75C9">
        <w:rPr>
          <w:b/>
          <w:color w:val="002E56"/>
        </w:rPr>
        <w:t xml:space="preserve">que de pago de </w:t>
      </w:r>
      <w:proofErr w:type="spellStart"/>
      <w:r w:rsidRPr="00DA75C9">
        <w:rPr>
          <w:b/>
          <w:color w:val="002E56"/>
        </w:rPr>
        <w:t>Healthcare</w:t>
      </w:r>
      <w:proofErr w:type="spellEnd"/>
      <w:r w:rsidRPr="00DA75C9">
        <w:rPr>
          <w:b/>
          <w:color w:val="002E56"/>
        </w:rPr>
        <w:t xml:space="preserve"> </w:t>
      </w:r>
      <w:proofErr w:type="spellStart"/>
      <w:r w:rsidRPr="00DA75C9">
        <w:rPr>
          <w:b/>
          <w:color w:val="002E56"/>
        </w:rPr>
        <w:t>Services</w:t>
      </w:r>
      <w:proofErr w:type="spellEnd"/>
      <w:r w:rsidRPr="00DA75C9">
        <w:rPr>
          <w:b/>
          <w:color w:val="002E56"/>
        </w:rPr>
        <w:t xml:space="preserve"> </w:t>
      </w:r>
      <w:proofErr w:type="spellStart"/>
      <w:r w:rsidRPr="00DA75C9">
        <w:rPr>
          <w:b/>
          <w:color w:val="002E56"/>
        </w:rPr>
        <w:t>Group</w:t>
      </w:r>
      <w:proofErr w:type="spellEnd"/>
      <w:r w:rsidRPr="00DA75C9">
        <w:rPr>
          <w:b/>
          <w:color w:val="002E56"/>
        </w:rPr>
        <w:t>?</w:t>
      </w:r>
    </w:p>
    <w:p w14:paraId="2E3129AF" w14:textId="10C4E931" w:rsidR="0009034F" w:rsidRPr="00DA75C9" w:rsidRDefault="009B4CBC" w:rsidP="00DA75C9">
      <w:pPr>
        <w:numPr>
          <w:ilvl w:val="0"/>
          <w:numId w:val="5"/>
        </w:numPr>
        <w:spacing w:line="240" w:lineRule="auto"/>
        <w:rPr>
          <w:color w:val="002E56"/>
        </w:rPr>
      </w:pPr>
      <w:r w:rsidRPr="00DA75C9">
        <w:rPr>
          <w:color w:val="002E56"/>
        </w:rPr>
        <w:t>Los empleados recibirán su primer cheque de pago del Grupo de Servicios de Atención Médica el</w:t>
      </w:r>
      <w:r w:rsidR="007A499E">
        <w:rPr>
          <w:color w:val="002E56"/>
        </w:rPr>
        <w:t xml:space="preserve"> 6</w:t>
      </w:r>
      <w:r w:rsidRPr="00DA75C9">
        <w:rPr>
          <w:color w:val="002E56"/>
        </w:rPr>
        <w:t xml:space="preserve"> de </w:t>
      </w:r>
      <w:r w:rsidR="007A499E">
        <w:rPr>
          <w:color w:val="002E56"/>
        </w:rPr>
        <w:t>junio</w:t>
      </w:r>
      <w:r w:rsidRPr="00DA75C9">
        <w:rPr>
          <w:color w:val="002E56"/>
        </w:rPr>
        <w:t xml:space="preserve"> de 2024. Este cheque de pago reflejará las horas trabajadas entre el </w:t>
      </w:r>
      <w:r w:rsidR="007A499E">
        <w:rPr>
          <w:color w:val="002E56"/>
        </w:rPr>
        <w:t>19</w:t>
      </w:r>
      <w:r w:rsidRPr="00DA75C9">
        <w:rPr>
          <w:color w:val="002E56"/>
        </w:rPr>
        <w:t xml:space="preserve"> </w:t>
      </w:r>
      <w:r w:rsidR="007A499E">
        <w:rPr>
          <w:color w:val="002E56"/>
        </w:rPr>
        <w:t xml:space="preserve">de mayo </w:t>
      </w:r>
      <w:r w:rsidRPr="00DA75C9">
        <w:rPr>
          <w:color w:val="002E56"/>
        </w:rPr>
        <w:t xml:space="preserve">y el 1 de </w:t>
      </w:r>
      <w:r w:rsidR="007A499E">
        <w:rPr>
          <w:color w:val="002E56"/>
        </w:rPr>
        <w:t>junio</w:t>
      </w:r>
      <w:r w:rsidRPr="00DA75C9">
        <w:rPr>
          <w:color w:val="002E56"/>
        </w:rPr>
        <w:t>. En el futuro</w:t>
      </w:r>
      <w:r w:rsidRPr="00DA75C9">
        <w:rPr>
          <w:color w:val="002E56"/>
        </w:rPr>
        <w:t>, los empleados recibirán su pago quincenalmente.</w:t>
      </w:r>
    </w:p>
    <w:p w14:paraId="2F18DD97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67F9BA7A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 xml:space="preserve">6. ¿Ofrece </w:t>
      </w:r>
      <w:proofErr w:type="spellStart"/>
      <w:r w:rsidRPr="00DA75C9">
        <w:rPr>
          <w:b/>
          <w:color w:val="002E56"/>
        </w:rPr>
        <w:t>Healthcare</w:t>
      </w:r>
      <w:proofErr w:type="spellEnd"/>
      <w:r w:rsidRPr="00DA75C9">
        <w:rPr>
          <w:b/>
          <w:color w:val="002E56"/>
        </w:rPr>
        <w:t xml:space="preserve"> </w:t>
      </w:r>
      <w:proofErr w:type="spellStart"/>
      <w:r w:rsidRPr="00DA75C9">
        <w:rPr>
          <w:b/>
          <w:color w:val="002E56"/>
        </w:rPr>
        <w:t>Services</w:t>
      </w:r>
      <w:proofErr w:type="spellEnd"/>
      <w:r w:rsidRPr="00DA75C9">
        <w:rPr>
          <w:b/>
          <w:color w:val="002E56"/>
        </w:rPr>
        <w:t xml:space="preserve"> </w:t>
      </w:r>
      <w:proofErr w:type="spellStart"/>
      <w:r w:rsidRPr="00DA75C9">
        <w:rPr>
          <w:b/>
          <w:color w:val="002E56"/>
        </w:rPr>
        <w:t>Group</w:t>
      </w:r>
      <w:proofErr w:type="spellEnd"/>
      <w:r w:rsidRPr="00DA75C9">
        <w:rPr>
          <w:b/>
          <w:color w:val="002E56"/>
        </w:rPr>
        <w:t xml:space="preserve"> una opción de depósito directo para mi cheque de pago?</w:t>
      </w:r>
    </w:p>
    <w:p w14:paraId="7273C53D" w14:textId="77777777" w:rsidR="0009034F" w:rsidRPr="00DA75C9" w:rsidRDefault="009B4CBC" w:rsidP="00DA75C9">
      <w:pPr>
        <w:numPr>
          <w:ilvl w:val="0"/>
          <w:numId w:val="4"/>
        </w:numPr>
        <w:spacing w:line="240" w:lineRule="auto"/>
        <w:rPr>
          <w:color w:val="002E56"/>
        </w:rPr>
      </w:pPr>
      <w:r w:rsidRPr="00DA75C9">
        <w:rPr>
          <w:color w:val="002E56"/>
        </w:rPr>
        <w:t xml:space="preserve">Sí. HCSG ofrece una opción de depósito directo, una opción de tarjeta de pago y una opción en papel para su </w:t>
      </w:r>
      <w:r w:rsidRPr="00DA75C9">
        <w:rPr>
          <w:color w:val="002E56"/>
        </w:rPr>
        <w:t>cheque de pago. Asegúrese de traer un cheque anulado o una carta del banco con la ruta y el número de cuenta que se configurará. Es posible que el depósito directo no esté disponible para su primer cheque de pago, pero estará disponible después de ese.</w:t>
      </w:r>
    </w:p>
    <w:p w14:paraId="5E62BD14" w14:textId="77777777" w:rsidR="0009034F" w:rsidRPr="00DA75C9" w:rsidRDefault="0009034F" w:rsidP="00DA75C9">
      <w:pPr>
        <w:spacing w:line="240" w:lineRule="auto"/>
        <w:rPr>
          <w:color w:val="002E56"/>
        </w:rPr>
      </w:pPr>
    </w:p>
    <w:p w14:paraId="0CFC954A" w14:textId="77777777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7.</w:t>
      </w:r>
      <w:r w:rsidRPr="00DA75C9">
        <w:rPr>
          <w:b/>
          <w:color w:val="002E56"/>
        </w:rPr>
        <w:t xml:space="preserve"> ¿Seguirá disponible el programa de salario adelantado?</w:t>
      </w:r>
    </w:p>
    <w:p w14:paraId="50F7F65F" w14:textId="77777777" w:rsidR="0009034F" w:rsidRDefault="009B4CBC" w:rsidP="00DA75C9">
      <w:pPr>
        <w:numPr>
          <w:ilvl w:val="0"/>
          <w:numId w:val="4"/>
        </w:numPr>
        <w:spacing w:line="240" w:lineRule="auto"/>
        <w:rPr>
          <w:color w:val="002E56"/>
        </w:rPr>
      </w:pPr>
      <w:r w:rsidRPr="00DA75C9">
        <w:rPr>
          <w:color w:val="002E56"/>
        </w:rPr>
        <w:t>El programa de salario adelantado se suspenderá con HCSG; sin embargo, HCSG está trabajando en el desarrollo de un programa similar que estará disponible en el futuro.</w:t>
      </w:r>
    </w:p>
    <w:p w14:paraId="22ECC027" w14:textId="77777777" w:rsidR="00DA75C9" w:rsidRDefault="00DA75C9" w:rsidP="00DA75C9">
      <w:pPr>
        <w:spacing w:line="240" w:lineRule="auto"/>
        <w:rPr>
          <w:color w:val="002E56"/>
        </w:rPr>
      </w:pPr>
    </w:p>
    <w:p w14:paraId="2AE9BF4A" w14:textId="77777777" w:rsidR="00DA75C9" w:rsidRPr="00DA75C9" w:rsidRDefault="00DA75C9" w:rsidP="00DA75C9">
      <w:pPr>
        <w:spacing w:line="240" w:lineRule="auto"/>
        <w:rPr>
          <w:color w:val="002E56"/>
        </w:rPr>
      </w:pPr>
    </w:p>
    <w:p w14:paraId="53B38715" w14:textId="77777777" w:rsidR="0009034F" w:rsidRDefault="0009034F" w:rsidP="00DA75C9">
      <w:pPr>
        <w:spacing w:line="240" w:lineRule="auto"/>
        <w:ind w:left="720"/>
        <w:rPr>
          <w:color w:val="002E56"/>
        </w:rPr>
      </w:pPr>
    </w:p>
    <w:p w14:paraId="5D53A6F5" w14:textId="77777777" w:rsidR="00DA75C9" w:rsidRPr="00DA75C9" w:rsidRDefault="00DA75C9" w:rsidP="00DA75C9">
      <w:pPr>
        <w:spacing w:line="240" w:lineRule="auto"/>
        <w:ind w:left="720"/>
        <w:rPr>
          <w:color w:val="002E56"/>
        </w:rPr>
      </w:pPr>
    </w:p>
    <w:p w14:paraId="2952120A" w14:textId="5D5C1B34" w:rsidR="0009034F" w:rsidRPr="00DA75C9" w:rsidRDefault="00EE37C5" w:rsidP="00DA75C9">
      <w:pPr>
        <w:spacing w:line="240" w:lineRule="auto"/>
        <w:rPr>
          <w:b/>
          <w:color w:val="002E56"/>
        </w:rPr>
      </w:pPr>
      <w:r>
        <w:rPr>
          <w:b/>
          <w:color w:val="002E56"/>
        </w:rPr>
        <w:t>8</w:t>
      </w:r>
      <w:r w:rsidR="009B4CBC" w:rsidRPr="00DA75C9">
        <w:rPr>
          <w:b/>
          <w:color w:val="002E56"/>
        </w:rPr>
        <w:t xml:space="preserve">. ¿Qué pasará con los </w:t>
      </w:r>
      <w:r w:rsidR="009B4CBC" w:rsidRPr="00DA75C9">
        <w:rPr>
          <w:b/>
          <w:color w:val="002E56"/>
        </w:rPr>
        <w:t>beneficios de mi seguro?</w:t>
      </w:r>
    </w:p>
    <w:p w14:paraId="4C8AC234" w14:textId="1933F666" w:rsidR="0009034F" w:rsidRPr="00DA75C9" w:rsidRDefault="007A499E" w:rsidP="00DA75C9">
      <w:pPr>
        <w:numPr>
          <w:ilvl w:val="0"/>
          <w:numId w:val="6"/>
        </w:numPr>
        <w:spacing w:line="240" w:lineRule="auto"/>
        <w:rPr>
          <w:color w:val="002E56"/>
        </w:rPr>
      </w:pPr>
      <w:r w:rsidRPr="007A499E">
        <w:rPr>
          <w:color w:val="002E56"/>
        </w:rPr>
        <w:t>Los beneficios del seguro heredado continuarán hasta el 31 de mayo de 2024.</w:t>
      </w:r>
      <w:r w:rsidRPr="00DA75C9">
        <w:rPr>
          <w:color w:val="002E56"/>
        </w:rPr>
        <w:t xml:space="preserve"> Es posible que tenga a su disposición opciones COBRA o portabilidad para continuar con su plan </w:t>
      </w:r>
      <w:proofErr w:type="spellStart"/>
      <w:r w:rsidRPr="00DA75C9">
        <w:rPr>
          <w:color w:val="002E56"/>
        </w:rPr>
        <w:t>Legacy</w:t>
      </w:r>
      <w:proofErr w:type="spellEnd"/>
      <w:r w:rsidRPr="00DA75C9">
        <w:rPr>
          <w:color w:val="002E56"/>
        </w:rPr>
        <w:t xml:space="preserve">. Los empleados elegibles que trabajen un promedio de 20 horas o más por semana también tendrán la opción de inscribirse en planes de seguro HCSG a partir del 1/6/2024. </w:t>
      </w:r>
      <w:r w:rsidRPr="00DA75C9">
        <w:rPr>
          <w:b/>
          <w:color w:val="002E56"/>
        </w:rPr>
        <w:t>Consulte a su gerente para obtener información sobre cómo inscribirse.</w:t>
      </w:r>
    </w:p>
    <w:p w14:paraId="4B3ACF4B" w14:textId="77777777" w:rsidR="007A499E" w:rsidRPr="00DA75C9" w:rsidRDefault="007A499E" w:rsidP="007A499E">
      <w:pPr>
        <w:spacing w:line="240" w:lineRule="auto"/>
        <w:rPr>
          <w:b/>
          <w:color w:val="002E56"/>
        </w:rPr>
      </w:pPr>
    </w:p>
    <w:p w14:paraId="31D75A0F" w14:textId="311B979F" w:rsidR="007A499E" w:rsidRPr="007A499E" w:rsidRDefault="00EE37C5" w:rsidP="007A499E">
      <w:pPr>
        <w:spacing w:line="240" w:lineRule="auto"/>
        <w:rPr>
          <w:b/>
          <w:color w:val="002E56"/>
        </w:rPr>
      </w:pPr>
      <w:r>
        <w:rPr>
          <w:b/>
          <w:color w:val="002E56"/>
        </w:rPr>
        <w:t>9</w:t>
      </w:r>
      <w:r w:rsidR="009B4CBC" w:rsidRPr="00DA75C9">
        <w:rPr>
          <w:b/>
          <w:color w:val="002E56"/>
        </w:rPr>
        <w:t>.</w:t>
      </w:r>
      <w:r w:rsidR="007A499E" w:rsidRPr="007A499E">
        <w:rPr>
          <w:b/>
          <w:color w:val="002E56"/>
        </w:rPr>
        <w:t xml:space="preserve"> ¿Qué pasa con mi tiempo VHS acumulado?</w:t>
      </w:r>
    </w:p>
    <w:p w14:paraId="75F7601B" w14:textId="659C4263" w:rsidR="007A499E" w:rsidRPr="007A499E" w:rsidRDefault="007A499E" w:rsidP="007A499E">
      <w:pPr>
        <w:pStyle w:val="ListParagraph"/>
        <w:numPr>
          <w:ilvl w:val="0"/>
          <w:numId w:val="15"/>
        </w:numPr>
        <w:spacing w:line="240" w:lineRule="auto"/>
        <w:rPr>
          <w:bCs/>
          <w:color w:val="002E56"/>
        </w:rPr>
      </w:pPr>
      <w:r w:rsidRPr="007A499E">
        <w:rPr>
          <w:bCs/>
          <w:color w:val="002E56"/>
        </w:rPr>
        <w:t xml:space="preserve">HCSG respetará todo el tiempo de VHS que haya acumulado con </w:t>
      </w:r>
      <w:proofErr w:type="spellStart"/>
      <w:r w:rsidRPr="007A499E">
        <w:rPr>
          <w:bCs/>
          <w:color w:val="002E56"/>
        </w:rPr>
        <w:t>Legacy</w:t>
      </w:r>
      <w:proofErr w:type="spellEnd"/>
      <w:r w:rsidRPr="007A499E">
        <w:rPr>
          <w:bCs/>
          <w:color w:val="002E56"/>
        </w:rPr>
        <w:t xml:space="preserve"> según la política </w:t>
      </w:r>
      <w:proofErr w:type="spellStart"/>
      <w:r w:rsidRPr="007A499E">
        <w:rPr>
          <w:bCs/>
          <w:color w:val="002E56"/>
        </w:rPr>
        <w:t>Legacy</w:t>
      </w:r>
      <w:proofErr w:type="spellEnd"/>
      <w:r w:rsidRPr="007A499E">
        <w:rPr>
          <w:bCs/>
          <w:color w:val="002E56"/>
        </w:rPr>
        <w:t xml:space="preserve"> aplicable. Todos los nuevos empleados serán contratados bajo el programa HCSG VHS.</w:t>
      </w:r>
    </w:p>
    <w:p w14:paraId="57D94F94" w14:textId="77777777" w:rsidR="007A499E" w:rsidRDefault="007A499E" w:rsidP="00DA75C9">
      <w:pPr>
        <w:spacing w:line="240" w:lineRule="auto"/>
        <w:rPr>
          <w:b/>
          <w:color w:val="002E56"/>
        </w:rPr>
      </w:pPr>
    </w:p>
    <w:p w14:paraId="4AF8D46C" w14:textId="6EF060AA" w:rsidR="0009034F" w:rsidRPr="00DA75C9" w:rsidRDefault="00EE37C5" w:rsidP="00DA75C9">
      <w:pPr>
        <w:spacing w:line="240" w:lineRule="auto"/>
        <w:rPr>
          <w:b/>
          <w:color w:val="002E56"/>
        </w:rPr>
      </w:pPr>
      <w:r>
        <w:rPr>
          <w:b/>
          <w:color w:val="002E56"/>
        </w:rPr>
        <w:t>10</w:t>
      </w:r>
      <w:r w:rsidR="007A499E">
        <w:rPr>
          <w:b/>
          <w:color w:val="002E56"/>
        </w:rPr>
        <w:t xml:space="preserve">. </w:t>
      </w:r>
      <w:r w:rsidR="007A499E" w:rsidRPr="00DA75C9">
        <w:rPr>
          <w:b/>
          <w:color w:val="002E56"/>
        </w:rPr>
        <w:t>¿Cómo informo una lesión en el lugar de trabajo?</w:t>
      </w:r>
    </w:p>
    <w:p w14:paraId="46FA1AF0" w14:textId="3C2B3AB9" w:rsidR="0009034F" w:rsidRPr="00DA75C9" w:rsidRDefault="009B4CBC" w:rsidP="00DA75C9">
      <w:pPr>
        <w:numPr>
          <w:ilvl w:val="0"/>
          <w:numId w:val="11"/>
        </w:numPr>
        <w:spacing w:line="240" w:lineRule="auto"/>
        <w:rPr>
          <w:color w:val="002E56"/>
        </w:rPr>
      </w:pPr>
      <w:r w:rsidRPr="00DA75C9">
        <w:rPr>
          <w:color w:val="002E56"/>
        </w:rPr>
        <w:t>Informará una lesión en el lugar de trabajo al gerent</w:t>
      </w:r>
      <w:r w:rsidRPr="00DA75C9">
        <w:rPr>
          <w:color w:val="002E56"/>
        </w:rPr>
        <w:t xml:space="preserve">e en el sitio de HCSG (Gerente de Cuenta). Tendrán la línea de llamada necesaria o la documentación que deberá </w:t>
      </w:r>
      <w:r w:rsidR="00DA75C9" w:rsidRPr="00DA75C9">
        <w:rPr>
          <w:color w:val="002E56"/>
        </w:rPr>
        <w:t>completar.</w:t>
      </w:r>
    </w:p>
    <w:p w14:paraId="03E842A8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0051D5DE" w14:textId="5ABC2745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</w:t>
      </w:r>
      <w:r w:rsidR="00EE37C5">
        <w:rPr>
          <w:b/>
          <w:color w:val="002E56"/>
        </w:rPr>
        <w:t>1</w:t>
      </w:r>
      <w:r w:rsidRPr="00DA75C9">
        <w:rPr>
          <w:b/>
          <w:color w:val="002E56"/>
        </w:rPr>
        <w:t>. ¿Qué Manual del Empleado seguiré?</w:t>
      </w:r>
    </w:p>
    <w:p w14:paraId="5E8646EA" w14:textId="77777777" w:rsidR="0009034F" w:rsidRPr="00DA75C9" w:rsidRDefault="009B4CBC" w:rsidP="00DA75C9">
      <w:pPr>
        <w:numPr>
          <w:ilvl w:val="0"/>
          <w:numId w:val="10"/>
        </w:numPr>
        <w:spacing w:line="240" w:lineRule="auto"/>
        <w:rPr>
          <w:color w:val="002E56"/>
        </w:rPr>
      </w:pPr>
      <w:r w:rsidRPr="00DA75C9">
        <w:rPr>
          <w:color w:val="002E56"/>
        </w:rPr>
        <w:t>Seguirá el manual del empleado de HCSG que recibirá cuando asista al empleado en servicio.</w:t>
      </w:r>
    </w:p>
    <w:p w14:paraId="605B71B9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2F26B1F5" w14:textId="62BE3DD5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</w:t>
      </w:r>
      <w:r w:rsidR="00EE37C5">
        <w:rPr>
          <w:b/>
          <w:color w:val="002E56"/>
        </w:rPr>
        <w:t>2</w:t>
      </w:r>
      <w:r w:rsidRPr="00DA75C9">
        <w:rPr>
          <w:b/>
          <w:color w:val="002E56"/>
        </w:rPr>
        <w:t>.</w:t>
      </w:r>
      <w:r w:rsidRPr="00DA75C9">
        <w:rPr>
          <w:b/>
          <w:color w:val="002E56"/>
        </w:rPr>
        <w:t xml:space="preserve"> ¿Quién mantendrá mi expediente personal?</w:t>
      </w:r>
    </w:p>
    <w:p w14:paraId="7A85BF1E" w14:textId="77777777" w:rsidR="0009034F" w:rsidRPr="00DA75C9" w:rsidRDefault="009B4CBC" w:rsidP="00DA75C9">
      <w:pPr>
        <w:numPr>
          <w:ilvl w:val="0"/>
          <w:numId w:val="1"/>
        </w:numPr>
        <w:spacing w:line="240" w:lineRule="auto"/>
        <w:rPr>
          <w:color w:val="002E56"/>
        </w:rPr>
      </w:pPr>
      <w:r w:rsidRPr="00DA75C9">
        <w:rPr>
          <w:color w:val="002E56"/>
        </w:rPr>
        <w:t>Su nuevo supervisor de HCSG mantendrá su archivo HCSG.</w:t>
      </w:r>
    </w:p>
    <w:p w14:paraId="7801EE29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7D1A9C4B" w14:textId="03ED3B3A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</w:t>
      </w:r>
      <w:r w:rsidR="00EE37C5">
        <w:rPr>
          <w:b/>
          <w:color w:val="002E56"/>
        </w:rPr>
        <w:t>3</w:t>
      </w:r>
      <w:r w:rsidRPr="00DA75C9">
        <w:rPr>
          <w:b/>
          <w:color w:val="002E56"/>
        </w:rPr>
        <w:t>. ¿Tengo que usar uniformes y etiquetas con mi nombre?</w:t>
      </w:r>
    </w:p>
    <w:p w14:paraId="00EADDC4" w14:textId="77777777" w:rsidR="0009034F" w:rsidRPr="00DA75C9" w:rsidRDefault="009B4CBC" w:rsidP="00DA75C9">
      <w:pPr>
        <w:numPr>
          <w:ilvl w:val="0"/>
          <w:numId w:val="7"/>
        </w:numPr>
        <w:spacing w:line="240" w:lineRule="auto"/>
        <w:rPr>
          <w:color w:val="002E56"/>
        </w:rPr>
      </w:pPr>
      <w:r w:rsidRPr="00DA75C9">
        <w:rPr>
          <w:color w:val="002E56"/>
        </w:rPr>
        <w:t>Sí. Continuará usando el uniforme y la placa con su nombre que usa actualmente.</w:t>
      </w:r>
    </w:p>
    <w:p w14:paraId="4D4A46B3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35871819" w14:textId="4CB97DBB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</w:t>
      </w:r>
      <w:r w:rsidR="00EE37C5">
        <w:rPr>
          <w:b/>
          <w:color w:val="002E56"/>
        </w:rPr>
        <w:t>4</w:t>
      </w:r>
      <w:r w:rsidRPr="00DA75C9">
        <w:rPr>
          <w:b/>
          <w:color w:val="002E56"/>
        </w:rPr>
        <w:t xml:space="preserve">. ¿Qué sucede con </w:t>
      </w:r>
      <w:r w:rsidRPr="00DA75C9">
        <w:rPr>
          <w:b/>
          <w:color w:val="002E56"/>
        </w:rPr>
        <w:t xml:space="preserve">mi embargo y/o manutención infantil establecido con </w:t>
      </w:r>
      <w:proofErr w:type="spellStart"/>
      <w:r w:rsidRPr="00DA75C9">
        <w:rPr>
          <w:b/>
          <w:color w:val="002E56"/>
        </w:rPr>
        <w:t>Legacy</w:t>
      </w:r>
      <w:proofErr w:type="spellEnd"/>
      <w:r w:rsidRPr="00DA75C9">
        <w:rPr>
          <w:b/>
          <w:color w:val="002E56"/>
        </w:rPr>
        <w:t>?</w:t>
      </w:r>
    </w:p>
    <w:p w14:paraId="1AB43892" w14:textId="77777777" w:rsidR="0009034F" w:rsidRPr="00DA75C9" w:rsidRDefault="009B4CBC" w:rsidP="00DA75C9">
      <w:pPr>
        <w:numPr>
          <w:ilvl w:val="0"/>
          <w:numId w:val="13"/>
        </w:numPr>
        <w:spacing w:line="240" w:lineRule="auto"/>
        <w:rPr>
          <w:color w:val="002E56"/>
        </w:rPr>
      </w:pPr>
      <w:r w:rsidRPr="00DA75C9">
        <w:rPr>
          <w:color w:val="002E56"/>
        </w:rPr>
        <w:t xml:space="preserve">Su orden actual se cancelará y deberá notificar al acreedor o a la oficina de manutención infantil de su nuevo empleador: </w:t>
      </w:r>
      <w:proofErr w:type="spellStart"/>
      <w:r w:rsidRPr="00DA75C9">
        <w:rPr>
          <w:color w:val="002E56"/>
        </w:rPr>
        <w:t>Healthcare</w:t>
      </w:r>
      <w:proofErr w:type="spellEnd"/>
      <w:r w:rsidRPr="00DA75C9">
        <w:rPr>
          <w:color w:val="002E56"/>
        </w:rPr>
        <w:t xml:space="preserve"> </w:t>
      </w:r>
      <w:proofErr w:type="spellStart"/>
      <w:r w:rsidRPr="00DA75C9">
        <w:rPr>
          <w:color w:val="002E56"/>
        </w:rPr>
        <w:t>Services</w:t>
      </w:r>
      <w:proofErr w:type="spellEnd"/>
      <w:r w:rsidRPr="00DA75C9">
        <w:rPr>
          <w:color w:val="002E56"/>
        </w:rPr>
        <w:t xml:space="preserve"> </w:t>
      </w:r>
      <w:proofErr w:type="spellStart"/>
      <w:r w:rsidRPr="00DA75C9">
        <w:rPr>
          <w:color w:val="002E56"/>
        </w:rPr>
        <w:t>Group</w:t>
      </w:r>
      <w:proofErr w:type="spellEnd"/>
      <w:r w:rsidRPr="00DA75C9">
        <w:rPr>
          <w:color w:val="002E56"/>
        </w:rPr>
        <w:t>, para no retrasar ningún pago. Debe continuar re</w:t>
      </w:r>
      <w:r w:rsidRPr="00DA75C9">
        <w:rPr>
          <w:color w:val="002E56"/>
        </w:rPr>
        <w:t>alizando pagos directamente a los tribunales hasta que se deduzcan las deducciones de su cheque HCSG.</w:t>
      </w:r>
    </w:p>
    <w:p w14:paraId="0EEB0971" w14:textId="77777777" w:rsidR="0009034F" w:rsidRPr="00DA75C9" w:rsidRDefault="0009034F" w:rsidP="00DA75C9">
      <w:pPr>
        <w:spacing w:line="240" w:lineRule="auto"/>
        <w:ind w:left="720"/>
        <w:rPr>
          <w:color w:val="002E56"/>
        </w:rPr>
      </w:pPr>
    </w:p>
    <w:p w14:paraId="69D5E3B4" w14:textId="1602BE2D" w:rsidR="0009034F" w:rsidRPr="00DA75C9" w:rsidRDefault="00DA75C9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</w:t>
      </w:r>
      <w:r w:rsidR="00EE37C5">
        <w:rPr>
          <w:b/>
          <w:color w:val="002E56"/>
        </w:rPr>
        <w:t>5</w:t>
      </w:r>
      <w:r w:rsidRPr="00DA75C9">
        <w:rPr>
          <w:b/>
          <w:color w:val="002E56"/>
        </w:rPr>
        <w:t>.</w:t>
      </w:r>
      <w:r w:rsidRPr="00DA75C9">
        <w:rPr>
          <w:color w:val="002E56"/>
        </w:rPr>
        <w:t xml:space="preserve"> </w:t>
      </w:r>
      <w:r w:rsidRPr="00DA75C9">
        <w:rPr>
          <w:b/>
          <w:color w:val="002E56"/>
        </w:rPr>
        <w:t>¿Con quién me comunico para iniciar sesión en mi computadora de escritorio o Chromebook?</w:t>
      </w:r>
    </w:p>
    <w:p w14:paraId="4D8D5E4F" w14:textId="597FABB2" w:rsidR="0009034F" w:rsidRPr="00DA75C9" w:rsidRDefault="009B4CBC" w:rsidP="00DA75C9">
      <w:pPr>
        <w:numPr>
          <w:ilvl w:val="0"/>
          <w:numId w:val="9"/>
        </w:numPr>
        <w:spacing w:line="240" w:lineRule="auto"/>
        <w:rPr>
          <w:color w:val="002E56"/>
        </w:rPr>
      </w:pPr>
      <w:r w:rsidRPr="00DA75C9">
        <w:rPr>
          <w:color w:val="002E56"/>
        </w:rPr>
        <w:t>Llame 267-525-8573 o envíeles un correo electrónico a helpde</w:t>
      </w:r>
      <w:r w:rsidRPr="00DA75C9">
        <w:rPr>
          <w:color w:val="002E56"/>
        </w:rPr>
        <w:t>sk@hcsgcorp.com. Incluya su nombre completo, número de contacto, código de nómina y una breve descripción de su problema.</w:t>
      </w:r>
    </w:p>
    <w:p w14:paraId="4367E872" w14:textId="77777777" w:rsidR="0009034F" w:rsidRPr="00DA75C9" w:rsidRDefault="0009034F" w:rsidP="00DA75C9">
      <w:pPr>
        <w:spacing w:line="240" w:lineRule="auto"/>
        <w:rPr>
          <w:b/>
          <w:color w:val="002E56"/>
        </w:rPr>
      </w:pPr>
    </w:p>
    <w:p w14:paraId="044D3EE6" w14:textId="50B1F9D5" w:rsidR="0009034F" w:rsidRPr="00DA75C9" w:rsidRDefault="009B4CBC" w:rsidP="00DA75C9">
      <w:pPr>
        <w:spacing w:line="240" w:lineRule="auto"/>
        <w:rPr>
          <w:b/>
          <w:color w:val="002E56"/>
        </w:rPr>
      </w:pPr>
      <w:r w:rsidRPr="00DA75C9">
        <w:rPr>
          <w:b/>
          <w:color w:val="002E56"/>
        </w:rPr>
        <w:t>1</w:t>
      </w:r>
      <w:r w:rsidR="00EE37C5">
        <w:rPr>
          <w:b/>
          <w:color w:val="002E56"/>
        </w:rPr>
        <w:t>6</w:t>
      </w:r>
      <w:bookmarkStart w:id="0" w:name="_GoBack"/>
      <w:bookmarkEnd w:id="0"/>
      <w:r w:rsidRPr="00DA75C9">
        <w:rPr>
          <w:b/>
          <w:color w:val="002E56"/>
        </w:rPr>
        <w:t>. ¿Dónde puedo obtener más información sobre HCSG una vez que esté incorporado?</w:t>
      </w:r>
    </w:p>
    <w:p w14:paraId="2272BD19" w14:textId="77777777" w:rsidR="0009034F" w:rsidRPr="00DA75C9" w:rsidRDefault="009B4CBC" w:rsidP="00DA75C9">
      <w:pPr>
        <w:numPr>
          <w:ilvl w:val="0"/>
          <w:numId w:val="3"/>
        </w:numPr>
        <w:spacing w:line="240" w:lineRule="auto"/>
        <w:rPr>
          <w:color w:val="002E56"/>
        </w:rPr>
      </w:pPr>
      <w:r w:rsidRPr="00DA75C9">
        <w:rPr>
          <w:color w:val="002E56"/>
        </w:rPr>
        <w:t>Todos los empleados tendrán acceso a la intranet de</w:t>
      </w:r>
      <w:r w:rsidRPr="00DA75C9">
        <w:rPr>
          <w:color w:val="002E56"/>
        </w:rPr>
        <w:t xml:space="preserve">nominada HUB en </w:t>
      </w:r>
      <w:hyperlink r:id="rId7">
        <w:r w:rsidRPr="00DA75C9">
          <w:rPr>
            <w:color w:val="002E56"/>
            <w:u w:val="single"/>
          </w:rPr>
          <w:t>www.HCSGHUB.com</w:t>
        </w:r>
      </w:hyperlink>
    </w:p>
    <w:p w14:paraId="26CD1CC2" w14:textId="77777777" w:rsidR="0009034F" w:rsidRPr="00DA75C9" w:rsidRDefault="009B4CBC" w:rsidP="00DA75C9">
      <w:pPr>
        <w:numPr>
          <w:ilvl w:val="0"/>
          <w:numId w:val="3"/>
        </w:numPr>
        <w:spacing w:line="240" w:lineRule="auto"/>
        <w:rPr>
          <w:color w:val="002E56"/>
        </w:rPr>
      </w:pPr>
      <w:r w:rsidRPr="00DA75C9">
        <w:rPr>
          <w:color w:val="002E56"/>
        </w:rPr>
        <w:t>Continuaremos brindándole actualizaciones y respondiendo sus preguntas durante esta transición. No dude en acudir al administrador de sus instalaciones, al gerente regional y al eq</w:t>
      </w:r>
      <w:r w:rsidRPr="00DA75C9">
        <w:rPr>
          <w:color w:val="002E56"/>
        </w:rPr>
        <w:t>uipo de recursos humanos de la oficina central si tiene preguntas. ¡Gracias!</w:t>
      </w:r>
      <w:r w:rsidRPr="00DA75C9">
        <w:br w:type="page"/>
      </w:r>
    </w:p>
    <w:p w14:paraId="6FB0E4B4" w14:textId="77777777" w:rsidR="00DA75C9" w:rsidRDefault="00DA75C9" w:rsidP="00DA75C9">
      <w:pPr>
        <w:spacing w:line="240" w:lineRule="auto"/>
        <w:ind w:left="720"/>
        <w:jc w:val="center"/>
        <w:rPr>
          <w:b/>
          <w:color w:val="002E56"/>
        </w:rPr>
      </w:pPr>
    </w:p>
    <w:p w14:paraId="25D50C8E" w14:textId="3D0EA428" w:rsidR="0009034F" w:rsidRDefault="009B4CBC" w:rsidP="00DA75C9">
      <w:pPr>
        <w:spacing w:line="240" w:lineRule="auto"/>
        <w:ind w:left="720"/>
        <w:jc w:val="center"/>
        <w:rPr>
          <w:b/>
          <w:color w:val="002E56"/>
        </w:rPr>
      </w:pPr>
      <w:r w:rsidRPr="00DA75C9">
        <w:rPr>
          <w:b/>
          <w:color w:val="002E56"/>
        </w:rPr>
        <w:t>Formas de identificación aceptables</w:t>
      </w:r>
    </w:p>
    <w:p w14:paraId="794F6166" w14:textId="75BC70B7" w:rsidR="0009034F" w:rsidRDefault="00DA75C9">
      <w:pPr>
        <w:spacing w:line="360" w:lineRule="auto"/>
        <w:ind w:left="720"/>
        <w:rPr>
          <w:b/>
          <w:color w:val="002E56"/>
        </w:rPr>
      </w:pPr>
      <w:r>
        <w:rPr>
          <w:b/>
          <w:noProof/>
          <w:color w:val="002E56"/>
          <w:lang w:val="en-US"/>
        </w:rPr>
        <w:drawing>
          <wp:anchor distT="0" distB="0" distL="114300" distR="114300" simplePos="0" relativeHeight="251658240" behindDoc="1" locked="0" layoutInCell="1" allowOverlap="1" wp14:anchorId="1546E406" wp14:editId="6461F9E9">
            <wp:simplePos x="0" y="0"/>
            <wp:positionH relativeFrom="column">
              <wp:posOffset>393065</wp:posOffset>
            </wp:positionH>
            <wp:positionV relativeFrom="paragraph">
              <wp:posOffset>316141</wp:posOffset>
            </wp:positionV>
            <wp:extent cx="5560695" cy="7186295"/>
            <wp:effectExtent l="0" t="0" r="1905" b="1905"/>
            <wp:wrapTight wrapText="bothSides">
              <wp:wrapPolygon edited="0">
                <wp:start x="0" y="0"/>
                <wp:lineTo x="0" y="21568"/>
                <wp:lineTo x="21558" y="21568"/>
                <wp:lineTo x="21558" y="0"/>
                <wp:lineTo x="0" y="0"/>
              </wp:wrapPolygon>
            </wp:wrapTight>
            <wp:docPr id="11854027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402784" name="Picture 118540278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718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034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1F88C" w14:textId="77777777" w:rsidR="009B4CBC" w:rsidRDefault="009B4CBC">
      <w:pPr>
        <w:spacing w:line="240" w:lineRule="auto"/>
      </w:pPr>
      <w:r>
        <w:separator/>
      </w:r>
    </w:p>
  </w:endnote>
  <w:endnote w:type="continuationSeparator" w:id="0">
    <w:p w14:paraId="2785AB31" w14:textId="77777777" w:rsidR="009B4CBC" w:rsidRDefault="009B4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636D" w14:textId="7BDF5B76" w:rsidR="0009034F" w:rsidRDefault="009B4CBC">
    <w:pPr>
      <w:jc w:val="right"/>
    </w:pPr>
    <w:r>
      <w:fldChar w:fldCharType="begin"/>
    </w:r>
    <w:r>
      <w:instrText>PAGE</w:instrText>
    </w:r>
    <w:r>
      <w:fldChar w:fldCharType="separate"/>
    </w:r>
    <w:r w:rsidR="00EE37C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02309" w14:textId="77777777" w:rsidR="009B4CBC" w:rsidRDefault="009B4CBC">
      <w:pPr>
        <w:spacing w:line="240" w:lineRule="auto"/>
      </w:pPr>
      <w:r>
        <w:separator/>
      </w:r>
    </w:p>
  </w:footnote>
  <w:footnote w:type="continuationSeparator" w:id="0">
    <w:p w14:paraId="4FEAD0DA" w14:textId="77777777" w:rsidR="009B4CBC" w:rsidRDefault="009B4C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EDF71" w14:textId="7FAD3C28" w:rsidR="00DA75C9" w:rsidRDefault="00DA75C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 wp14:anchorId="33E9D7D9" wp14:editId="634C8E43">
          <wp:simplePos x="0" y="0"/>
          <wp:positionH relativeFrom="column">
            <wp:posOffset>-341523</wp:posOffset>
          </wp:positionH>
          <wp:positionV relativeFrom="paragraph">
            <wp:posOffset>-132133</wp:posOffset>
          </wp:positionV>
          <wp:extent cx="2137410" cy="563880"/>
          <wp:effectExtent l="0" t="0" r="0" b="0"/>
          <wp:wrapSquare wrapText="bothSides" distT="0" distB="0" distL="114300" distR="114300"/>
          <wp:docPr id="2" name="image2.jp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741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47C2A3E"/>
    <w:multiLevelType w:val="multilevel"/>
    <w:tmpl w:val="750E1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B25CF"/>
    <w:multiLevelType w:val="multilevel"/>
    <w:tmpl w:val="701094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9D49F3"/>
    <w:multiLevelType w:val="multilevel"/>
    <w:tmpl w:val="800CD3C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3E519A"/>
    <w:multiLevelType w:val="hybridMultilevel"/>
    <w:tmpl w:val="1F46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21FA"/>
    <w:multiLevelType w:val="multilevel"/>
    <w:tmpl w:val="390E52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BE424A"/>
    <w:multiLevelType w:val="multilevel"/>
    <w:tmpl w:val="ACB4E9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797214"/>
    <w:multiLevelType w:val="multilevel"/>
    <w:tmpl w:val="8AE618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B71B91"/>
    <w:multiLevelType w:val="multilevel"/>
    <w:tmpl w:val="9920D3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566CC8"/>
    <w:multiLevelType w:val="multilevel"/>
    <w:tmpl w:val="0074AA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46151"/>
    <w:multiLevelType w:val="multilevel"/>
    <w:tmpl w:val="710C7C5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B70111"/>
    <w:multiLevelType w:val="multilevel"/>
    <w:tmpl w:val="3A5A10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E07E10"/>
    <w:multiLevelType w:val="multilevel"/>
    <w:tmpl w:val="E10AF18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4F08FB"/>
    <w:multiLevelType w:val="multilevel"/>
    <w:tmpl w:val="900488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C65489"/>
    <w:multiLevelType w:val="multilevel"/>
    <w:tmpl w:val="83FE45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DD260D"/>
    <w:multiLevelType w:val="multilevel"/>
    <w:tmpl w:val="025250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1111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2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4F"/>
    <w:rsid w:val="0009034F"/>
    <w:rsid w:val="0039297F"/>
    <w:rsid w:val="003B6658"/>
    <w:rsid w:val="007A499E"/>
    <w:rsid w:val="009B4CBC"/>
    <w:rsid w:val="00AD2DA5"/>
    <w:rsid w:val="00DA75C9"/>
    <w:rsid w:val="00E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3C7C"/>
  <w15:docId w15:val="{30DCA115-63AA-E847-B571-EBF771A0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A7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5C9"/>
  </w:style>
  <w:style w:type="paragraph" w:styleId="Footer">
    <w:name w:val="footer"/>
    <w:basedOn w:val="Normal"/>
    <w:link w:val="FooterChar"/>
    <w:uiPriority w:val="99"/>
    <w:unhideWhenUsed/>
    <w:rsid w:val="00DA7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5C9"/>
  </w:style>
  <w:style w:type="paragraph" w:styleId="ListParagraph">
    <w:name w:val="List Paragraph"/>
    <w:basedOn w:val="Normal"/>
    <w:uiPriority w:val="34"/>
    <w:qFormat/>
    <w:rsid w:val="007A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hub.hcsgcorp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Kendra Mata</cp:lastModifiedBy>
  <cp:revision>3</cp:revision>
  <dcterms:created xsi:type="dcterms:W3CDTF">2024-05-17T02:11:00Z</dcterms:created>
  <dcterms:modified xsi:type="dcterms:W3CDTF">2024-05-17T13:51:00Z</dcterms:modified>
</cp:coreProperties>
</file>